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firstLine="0"/>
        <w:rPr>
          <w:rFonts w:ascii="Afacad Flux" w:cs="Afacad Flux" w:eastAsia="Afacad Flux" w:hAnsi="Afacad Flux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right="-720" w:firstLine="0"/>
        <w:rPr>
          <w:rFonts w:ascii="Afacad Flux" w:cs="Afacad Flux" w:eastAsia="Afacad Flux" w:hAnsi="Afacad Flux"/>
          <w:b w:val="1"/>
          <w:u w:val="single"/>
        </w:rPr>
      </w:pPr>
      <w:r w:rsidDel="00000000" w:rsidR="00000000" w:rsidRPr="00000000">
        <w:rPr>
          <w:rFonts w:ascii="Afacad Flux" w:cs="Afacad Flux" w:eastAsia="Afacad Flux" w:hAnsi="Afacad Flux"/>
          <w:b w:val="1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3">
      <w:pPr>
        <w:ind w:left="-720" w:right="-720" w:firstLine="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Support Operations Engineer 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Finalsite (Active Internet Technologies LLC) </w:t>
      </w: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May 2024 - Present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Developed a comprehensive integration for tracking client-reported issues directly into Jira, enabling the product development team to prioritize tasks based on client ARR statistics and streamline issue resolution.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Implemented a backup synchronization system for Zendesk Ticket and Talk metrics to BigQuery, enhancing data analysis capabilities and improving reporting accuracy for the Support team.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Managed the Zendesk Enterprise instance with 250 agents by optimizing legacy settings, merging multiple support instances from acquisitions, and facilitating the rollout of new features.</w:t>
      </w:r>
    </w:p>
    <w:p w:rsidR="00000000" w:rsidDel="00000000" w:rsidP="00000000" w:rsidRDefault="00000000" w:rsidRPr="00000000" w14:paraId="00000007">
      <w:pPr>
        <w:ind w:left="-720" w:right="-720" w:firstLine="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Product Manager 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 Finalsite (Active Internet Technologies LLC) </w:t>
      </w: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|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 October 2021 - May 2024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Work closely with developers and engineers to design, spec, and build products, and write technical documentation.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Define and prioritize product requirements and roadmaps based on customer and market feedback.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Collaborate with cross-functional teams (e.g. design, engineering, deployment, support) to develop and launch new products and features.</w:t>
      </w:r>
    </w:p>
    <w:p w:rsidR="00000000" w:rsidDel="00000000" w:rsidP="00000000" w:rsidRDefault="00000000" w:rsidRPr="00000000" w14:paraId="0000000B">
      <w:pPr>
        <w:ind w:left="-720" w:right="-720" w:firstLine="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Site Reliability Engineer 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Finalsite (Active Internet Technologies LLC)</w:t>
      </w: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 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July 2020 - October 2021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Monitored and maintained the reliability and performance of Finalsite's systems and infrastructure.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Implemented and managed monitoring and alerting systems to proactively identify and address issues before they impacted clients.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Conducted root cause analysis on incidents and outages, and developed strategies to prevent them from recurring.</w:t>
      </w:r>
    </w:p>
    <w:p w:rsidR="00000000" w:rsidDel="00000000" w:rsidP="00000000" w:rsidRDefault="00000000" w:rsidRPr="00000000" w14:paraId="0000000F">
      <w:pPr>
        <w:ind w:left="-720" w:right="-720" w:firstLine="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Site Launch Coordinator 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Finalsite (Active Internet Technologies LLC)</w:t>
      </w: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 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April 2018 - July 2020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Managed the launch process for new client websites, including coordinating with internal teams and external stakeholders.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Provided ongoing support to clients during the launch process, responding to questions and resolving issues in a timely manner.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Built and managed several custom scripts and tools to automate operations.</w:t>
      </w:r>
    </w:p>
    <w:p w:rsidR="00000000" w:rsidDel="00000000" w:rsidP="00000000" w:rsidRDefault="00000000" w:rsidRPr="00000000" w14:paraId="00000013">
      <w:pPr>
        <w:ind w:left="-720" w:right="-720" w:firstLine="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Support Analyst 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Finalsite (Active Internet Technologies LLC)</w:t>
      </w: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 |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 March 2015 - April 2018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Provided advanced technical support to clients via phone, email, and the company's ticketing system.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Identified and reported several bugs in Finalsite's products, contributing to their resolution in subsequent releases.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Designed a custom web app in Drupal to track and support client launches.</w:t>
      </w:r>
    </w:p>
    <w:p w:rsidR="00000000" w:rsidDel="00000000" w:rsidP="00000000" w:rsidRDefault="00000000" w:rsidRPr="00000000" w14:paraId="00000017">
      <w:pPr>
        <w:ind w:left="-720" w:right="-720" w:firstLine="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Cheesemaker 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Cato Corner Farm / Beltane Farm</w:t>
      </w: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 |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 August 2009 - August 2014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0"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Made and sold farmstead cheese, and directed cheesemaking operations and online retail. </w:t>
      </w:r>
    </w:p>
    <w:p w:rsidR="00000000" w:rsidDel="00000000" w:rsidP="00000000" w:rsidRDefault="00000000" w:rsidRPr="00000000" w14:paraId="00000019">
      <w:pPr>
        <w:ind w:left="-720" w:right="-720" w:firstLine="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Web Developer |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 Self </w:t>
      </w:r>
      <w:r w:rsidDel="00000000" w:rsidR="00000000" w:rsidRPr="00000000">
        <w:rPr>
          <w:rFonts w:ascii="Afacad Flux" w:cs="Afacad Flux" w:eastAsia="Afacad Flux" w:hAnsi="Afacad Flux"/>
          <w:b w:val="1"/>
          <w:rtl w:val="0"/>
        </w:rPr>
        <w:t xml:space="preserve">| </w:t>
      </w: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October 2010 - November 2015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right="-720" w:hanging="36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Built websites and commerce CMS applications for small farms and businesses specializing in marketing commerce, stock/inventory, scheduling, and logistics. </w:t>
      </w:r>
    </w:p>
    <w:p w:rsidR="00000000" w:rsidDel="00000000" w:rsidP="00000000" w:rsidRDefault="00000000" w:rsidRPr="00000000" w14:paraId="0000001B">
      <w:pPr>
        <w:ind w:right="-720"/>
        <w:rPr>
          <w:rFonts w:ascii="Afacad Flux" w:cs="Afacad Flux" w:eastAsia="Afacad Flux" w:hAnsi="Afacad Flux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720" w:right="-720" w:firstLine="0"/>
        <w:rPr>
          <w:rFonts w:ascii="Afacad Flux" w:cs="Afacad Flux" w:eastAsia="Afacad Flux" w:hAnsi="Afacad Flux"/>
          <w:b w:val="1"/>
          <w:u w:val="single"/>
        </w:rPr>
      </w:pPr>
      <w:r w:rsidDel="00000000" w:rsidR="00000000" w:rsidRPr="00000000">
        <w:rPr>
          <w:rFonts w:ascii="Afacad Flux" w:cs="Afacad Flux" w:eastAsia="Afacad Flux" w:hAnsi="Afacad Flux"/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1D">
      <w:pPr>
        <w:ind w:left="-720" w:right="-720" w:firstLine="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Bachelor of Arts (BA) Mathematics</w:t>
      </w:r>
    </w:p>
    <w:p w:rsidR="00000000" w:rsidDel="00000000" w:rsidP="00000000" w:rsidRDefault="00000000" w:rsidRPr="00000000" w14:paraId="0000001E">
      <w:pPr>
        <w:ind w:left="-720" w:right="-720" w:firstLine="0"/>
        <w:rPr>
          <w:rFonts w:ascii="Afacad Flux" w:cs="Afacad Flux" w:eastAsia="Afacad Flux" w:hAnsi="Afacad Flux"/>
        </w:rPr>
      </w:pPr>
      <w:r w:rsidDel="00000000" w:rsidR="00000000" w:rsidRPr="00000000">
        <w:rPr>
          <w:rFonts w:ascii="Afacad Flux" w:cs="Afacad Flux" w:eastAsia="Afacad Flux" w:hAnsi="Afacad Flux"/>
          <w:rtl w:val="0"/>
        </w:rPr>
        <w:t xml:space="preserve">Central Connecticut State University, CT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576" w:footer="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facad Flux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Style w:val="Title"/>
      <w:ind w:left="-720" w:right="-720" w:firstLine="0"/>
      <w:rPr>
        <w:rFonts w:ascii="Afacad Flux" w:cs="Afacad Flux" w:eastAsia="Afacad Flux" w:hAnsi="Afacad Flux"/>
        <w:sz w:val="22"/>
        <w:szCs w:val="22"/>
      </w:rPr>
    </w:pPr>
    <w:bookmarkStart w:colFirst="0" w:colLast="0" w:name="_wffzufl2bnei" w:id="0"/>
    <w:bookmarkEnd w:id="0"/>
    <w:r w:rsidDel="00000000" w:rsidR="00000000" w:rsidRPr="00000000">
      <w:rPr>
        <w:rFonts w:ascii="Afacad Flux" w:cs="Afacad Flux" w:eastAsia="Afacad Flux" w:hAnsi="Afacad Flux"/>
        <w:rtl w:val="0"/>
      </w:rPr>
      <w:t xml:space="preserve">Chris Batt                                    </w:t>
    </w:r>
    <w:r w:rsidDel="00000000" w:rsidR="00000000" w:rsidRPr="00000000">
      <w:rPr>
        <w:rFonts w:ascii="Afacad Flux" w:cs="Afacad Flux" w:eastAsia="Afacad Flux" w:hAnsi="Afacad Flux"/>
        <w:sz w:val="22"/>
        <w:szCs w:val="22"/>
        <w:rtl w:val="0"/>
      </w:rPr>
      <w:t xml:space="preserve">email: </w:t>
    </w:r>
    <w:hyperlink r:id="rId1">
      <w:r w:rsidDel="00000000" w:rsidR="00000000" w:rsidRPr="00000000">
        <w:rPr>
          <w:rFonts w:ascii="Afacad Flux" w:cs="Afacad Flux" w:eastAsia="Afacad Flux" w:hAnsi="Afacad Flux"/>
          <w:color w:val="1155cc"/>
          <w:sz w:val="22"/>
          <w:szCs w:val="22"/>
          <w:u w:val="single"/>
          <w:rtl w:val="0"/>
        </w:rPr>
        <w:t xml:space="preserve">callenbatt@gmail.com</w:t>
      </w:r>
    </w:hyperlink>
    <w:r w:rsidDel="00000000" w:rsidR="00000000" w:rsidRPr="00000000">
      <w:rPr>
        <w:rFonts w:ascii="Afacad Flux" w:cs="Afacad Flux" w:eastAsia="Afacad Flux" w:hAnsi="Afacad Flux"/>
        <w:sz w:val="22"/>
        <w:szCs w:val="22"/>
        <w:rtl w:val="0"/>
      </w:rPr>
      <w:t xml:space="preserve"> | phone: (860) 222-0989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facadFlux-regular.ttf"/><Relationship Id="rId2" Type="http://schemas.openxmlformats.org/officeDocument/2006/relationships/font" Target="fonts/AfacadFlux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allenba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